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156" w:afterLines="50" w:line="360" w:lineRule="auto"/>
        <w:rPr>
          <w:rFonts w:ascii="仿宋" w:hAnsi="仿宋" w:eastAsia="仿宋" w:cs="Times New Roman"/>
          <w:sz w:val="36"/>
          <w:szCs w:val="28"/>
        </w:rPr>
      </w:pPr>
      <w:r>
        <w:rPr>
          <w:rFonts w:hint="eastAsia" w:ascii="仿宋" w:hAnsi="仿宋" w:eastAsia="仿宋" w:cs="Times New Roman"/>
          <w:sz w:val="36"/>
          <w:szCs w:val="28"/>
        </w:rPr>
        <w:t>一、商标专用权保险承保和理赔简介：</w:t>
      </w:r>
    </w:p>
    <w:tbl>
      <w:tblPr>
        <w:tblStyle w:val="7"/>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788"/>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526" w:type="dxa"/>
          </w:tcPr>
          <w:p>
            <w:pPr>
              <w:pStyle w:val="10"/>
              <w:spacing w:line="360" w:lineRule="auto"/>
              <w:rPr>
                <w:rFonts w:hint="eastAsia" w:ascii="仿宋" w:hAnsi="仿宋" w:eastAsia="仿宋"/>
                <w:sz w:val="22"/>
                <w:szCs w:val="28"/>
              </w:rPr>
            </w:pPr>
          </w:p>
        </w:tc>
        <w:tc>
          <w:tcPr>
            <w:tcW w:w="8788" w:type="dxa"/>
          </w:tcPr>
          <w:p>
            <w:pPr>
              <w:pStyle w:val="10"/>
              <w:spacing w:line="360" w:lineRule="auto"/>
              <w:rPr>
                <w:rFonts w:hint="eastAsia" w:ascii="仿宋" w:hAnsi="仿宋" w:eastAsia="仿宋"/>
                <w:sz w:val="22"/>
                <w:szCs w:val="28"/>
              </w:rPr>
            </w:pPr>
            <w:r>
              <w:rPr>
                <w:rFonts w:hint="eastAsia" w:ascii="仿宋" w:hAnsi="仿宋" w:eastAsia="仿宋"/>
                <w:sz w:val="22"/>
                <w:szCs w:val="28"/>
              </w:rPr>
              <w:t>平安商标侵权损失补偿保险</w:t>
            </w:r>
          </w:p>
        </w:tc>
        <w:tc>
          <w:tcPr>
            <w:tcW w:w="4962" w:type="dxa"/>
          </w:tcPr>
          <w:p>
            <w:pPr>
              <w:pStyle w:val="10"/>
              <w:spacing w:line="360" w:lineRule="auto"/>
              <w:rPr>
                <w:rFonts w:hint="eastAsia" w:ascii="仿宋" w:hAnsi="仿宋" w:eastAsia="仿宋"/>
                <w:sz w:val="22"/>
                <w:szCs w:val="28"/>
              </w:rPr>
            </w:pPr>
            <w:r>
              <w:rPr>
                <w:rFonts w:hint="eastAsia" w:ascii="仿宋" w:hAnsi="仿宋" w:eastAsia="仿宋"/>
                <w:sz w:val="22"/>
                <w:szCs w:val="28"/>
              </w:rPr>
              <w:t>平安商标申请费用补偿保险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pStyle w:val="10"/>
              <w:spacing w:line="360" w:lineRule="auto"/>
              <w:rPr>
                <w:rFonts w:hint="eastAsia" w:ascii="仿宋" w:hAnsi="仿宋" w:eastAsia="仿宋"/>
                <w:sz w:val="22"/>
                <w:szCs w:val="28"/>
              </w:rPr>
            </w:pPr>
            <w:r>
              <w:rPr>
                <w:rFonts w:hint="eastAsia" w:ascii="仿宋" w:hAnsi="仿宋" w:eastAsia="仿宋"/>
                <w:sz w:val="22"/>
                <w:szCs w:val="28"/>
              </w:rPr>
              <w:t>理赔依据</w:t>
            </w:r>
          </w:p>
        </w:tc>
        <w:tc>
          <w:tcPr>
            <w:tcW w:w="8788" w:type="dxa"/>
          </w:tcPr>
          <w:p>
            <w:pPr>
              <w:pStyle w:val="10"/>
              <w:spacing w:after="156" w:afterLines="50" w:line="360" w:lineRule="auto"/>
              <w:rPr>
                <w:rFonts w:hint="eastAsia" w:ascii="仿宋" w:hAnsi="仿宋" w:eastAsia="仿宋" w:cs="Times New Roman"/>
                <w:sz w:val="22"/>
                <w:szCs w:val="28"/>
              </w:rPr>
            </w:pPr>
            <w:r>
              <w:rPr>
                <w:rFonts w:hint="eastAsia" w:ascii="仿宋" w:hAnsi="仿宋" w:eastAsia="仿宋"/>
                <w:sz w:val="22"/>
                <w:szCs w:val="28"/>
              </w:rPr>
              <w:t>1、</w:t>
            </w:r>
            <w:r>
              <w:rPr>
                <w:rFonts w:hint="eastAsia" w:ascii="仿宋" w:hAnsi="仿宋" w:eastAsia="仿宋" w:cs="Times New Roman"/>
                <w:sz w:val="22"/>
                <w:szCs w:val="28"/>
              </w:rPr>
              <w:t>任何未经商标权人许可或授权而实施被保险商标，涉及行政处罚的，由市场监督管理部门作出《行政处罚决定书》。</w:t>
            </w:r>
          </w:p>
          <w:p>
            <w:pPr>
              <w:pStyle w:val="10"/>
              <w:spacing w:after="156" w:afterLines="50" w:line="360" w:lineRule="auto"/>
              <w:rPr>
                <w:rFonts w:hint="eastAsia" w:ascii="仿宋" w:hAnsi="仿宋" w:eastAsia="仿宋"/>
                <w:sz w:val="22"/>
                <w:szCs w:val="28"/>
              </w:rPr>
            </w:pPr>
            <w:r>
              <w:rPr>
                <w:rFonts w:hint="eastAsia" w:ascii="仿宋" w:hAnsi="仿宋" w:eastAsia="仿宋" w:cs="Times New Roman"/>
                <w:sz w:val="22"/>
                <w:szCs w:val="28"/>
              </w:rPr>
              <w:t>2、任何未经商标权人许可或授权而实施被保险商标，涉及仲裁机构仲裁或法院判决的，由仲裁委员会或人民法院作出《裁决书》或《判决书》。</w:t>
            </w:r>
          </w:p>
        </w:tc>
        <w:tc>
          <w:tcPr>
            <w:tcW w:w="4962" w:type="dxa"/>
          </w:tcPr>
          <w:p>
            <w:pPr>
              <w:pStyle w:val="10"/>
              <w:spacing w:line="360" w:lineRule="auto"/>
              <w:rPr>
                <w:rFonts w:hint="eastAsia" w:ascii="仿宋" w:hAnsi="仿宋" w:eastAsia="仿宋"/>
                <w:sz w:val="22"/>
                <w:szCs w:val="28"/>
              </w:rPr>
            </w:pPr>
            <w:r>
              <w:rPr>
                <w:rFonts w:hint="eastAsia" w:ascii="仿宋" w:hAnsi="仿宋" w:eastAsia="仿宋"/>
                <w:sz w:val="22"/>
                <w:szCs w:val="28"/>
              </w:rPr>
              <w:t>被保险人在保险期限内向申请国家提交马德里国际商标授权申请后，未能取得申请国家核准保护。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pStyle w:val="10"/>
              <w:spacing w:line="360" w:lineRule="auto"/>
              <w:rPr>
                <w:rFonts w:hint="eastAsia" w:ascii="仿宋" w:hAnsi="仿宋" w:eastAsia="仿宋"/>
                <w:sz w:val="22"/>
                <w:szCs w:val="28"/>
              </w:rPr>
            </w:pPr>
            <w:r>
              <w:rPr>
                <w:rFonts w:hint="eastAsia" w:ascii="仿宋" w:hAnsi="仿宋" w:eastAsia="仿宋"/>
                <w:sz w:val="22"/>
                <w:szCs w:val="28"/>
              </w:rPr>
              <w:t>赔偿标准</w:t>
            </w:r>
          </w:p>
        </w:tc>
        <w:tc>
          <w:tcPr>
            <w:tcW w:w="8788" w:type="dxa"/>
          </w:tcPr>
          <w:p>
            <w:pPr>
              <w:pStyle w:val="10"/>
              <w:spacing w:line="360" w:lineRule="auto"/>
              <w:rPr>
                <w:rFonts w:hint="eastAsia" w:ascii="仿宋" w:hAnsi="仿宋" w:eastAsia="仿宋"/>
                <w:sz w:val="22"/>
                <w:szCs w:val="28"/>
              </w:rPr>
            </w:pPr>
            <w:r>
              <w:rPr>
                <w:rFonts w:hint="eastAsia" w:ascii="仿宋" w:hAnsi="仿宋" w:eastAsia="仿宋"/>
                <w:sz w:val="22"/>
                <w:szCs w:val="28"/>
              </w:rPr>
              <w:t>1、</w:t>
            </w:r>
            <w:r>
              <w:rPr>
                <w:rFonts w:hint="eastAsia" w:ascii="仿宋" w:hAnsi="仿宋" w:eastAsia="仿宋"/>
                <w:b/>
                <w:sz w:val="22"/>
                <w:szCs w:val="28"/>
              </w:rPr>
              <w:t>调查费用</w:t>
            </w:r>
            <w:r>
              <w:rPr>
                <w:rFonts w:hint="eastAsia" w:ascii="仿宋" w:hAnsi="仿宋" w:eastAsia="仿宋"/>
                <w:sz w:val="22"/>
                <w:szCs w:val="28"/>
              </w:rPr>
              <w:t>：商标权人就其受到侵犯的商标权向市场监督管理部门提起查处请求、或向仲裁机构提起仲裁请求、或向法院提起诉讼请求。赔偿商标权人的前述请求在立案或受理前发生的必要的、合理的调查费、公证费、交通费、住宿费、伙食补助费等。</w:t>
            </w:r>
          </w:p>
          <w:p>
            <w:pPr>
              <w:pStyle w:val="10"/>
              <w:spacing w:line="360" w:lineRule="auto"/>
              <w:rPr>
                <w:rFonts w:hint="eastAsia" w:ascii="仿宋" w:hAnsi="仿宋" w:eastAsia="仿宋"/>
                <w:sz w:val="22"/>
                <w:szCs w:val="28"/>
              </w:rPr>
            </w:pPr>
            <w:r>
              <w:rPr>
                <w:rFonts w:hint="eastAsia" w:ascii="仿宋" w:hAnsi="仿宋" w:eastAsia="仿宋"/>
                <w:sz w:val="22"/>
                <w:szCs w:val="28"/>
              </w:rPr>
              <w:t>2、</w:t>
            </w:r>
            <w:r>
              <w:rPr>
                <w:rFonts w:hint="eastAsia" w:ascii="仿宋" w:hAnsi="仿宋" w:eastAsia="仿宋"/>
                <w:b/>
                <w:sz w:val="22"/>
                <w:szCs w:val="28"/>
              </w:rPr>
              <w:t>法律费用</w:t>
            </w:r>
            <w:r>
              <w:rPr>
                <w:rFonts w:hint="eastAsia" w:ascii="仿宋" w:hAnsi="仿宋" w:eastAsia="仿宋"/>
                <w:sz w:val="22"/>
                <w:szCs w:val="28"/>
              </w:rPr>
              <w:t>：商标权人就其受到侵犯的商标权向市场监督管理部门提起查处请求、或向仲裁机构提起仲裁请求、或向法院提起诉讼请求。赔偿商标权人的前述请求在立案或受理前发生的必要的、合理的律师费，仲裁费或诉讼费等。</w:t>
            </w:r>
          </w:p>
          <w:p>
            <w:pPr>
              <w:pStyle w:val="10"/>
              <w:spacing w:line="360" w:lineRule="auto"/>
              <w:rPr>
                <w:rFonts w:hint="eastAsia" w:ascii="仿宋" w:hAnsi="仿宋" w:eastAsia="仿宋" w:cs="Times New Roman"/>
                <w:sz w:val="22"/>
                <w:szCs w:val="28"/>
              </w:rPr>
            </w:pPr>
            <w:r>
              <w:rPr>
                <w:rFonts w:hint="eastAsia" w:ascii="仿宋" w:hAnsi="仿宋" w:eastAsia="仿宋"/>
                <w:sz w:val="22"/>
                <w:szCs w:val="28"/>
              </w:rPr>
              <w:t>3、</w:t>
            </w:r>
            <w:r>
              <w:rPr>
                <w:rFonts w:hint="eastAsia" w:ascii="仿宋" w:hAnsi="仿宋" w:eastAsia="仿宋"/>
                <w:b/>
                <w:sz w:val="22"/>
                <w:szCs w:val="28"/>
              </w:rPr>
              <w:t>直接损失</w:t>
            </w:r>
            <w:r>
              <w:rPr>
                <w:rFonts w:hint="eastAsia" w:ascii="仿宋" w:hAnsi="仿宋" w:eastAsia="仿宋"/>
                <w:sz w:val="22"/>
                <w:szCs w:val="28"/>
              </w:rPr>
              <w:t>：经仲裁机构仲裁</w:t>
            </w:r>
            <w:r>
              <w:rPr>
                <w:rFonts w:ascii="仿宋" w:hAnsi="仿宋" w:eastAsia="仿宋"/>
                <w:sz w:val="22"/>
                <w:szCs w:val="28"/>
              </w:rPr>
              <w:t>或法院依法判决应由</w:t>
            </w:r>
            <w:r>
              <w:rPr>
                <w:rFonts w:hint="eastAsia" w:ascii="仿宋" w:hAnsi="仿宋" w:eastAsia="仿宋"/>
                <w:sz w:val="22"/>
                <w:szCs w:val="28"/>
              </w:rPr>
              <w:t>侵权人</w:t>
            </w:r>
            <w:r>
              <w:rPr>
                <w:rFonts w:ascii="仿宋" w:hAnsi="仿宋" w:eastAsia="仿宋"/>
                <w:sz w:val="22"/>
                <w:szCs w:val="28"/>
              </w:rPr>
              <w:t>承担的赔偿数额</w:t>
            </w:r>
            <w:r>
              <w:rPr>
                <w:rFonts w:hint="eastAsia" w:ascii="仿宋" w:hAnsi="仿宋" w:eastAsia="仿宋"/>
                <w:sz w:val="22"/>
                <w:szCs w:val="28"/>
              </w:rPr>
              <w:t>。</w:t>
            </w:r>
          </w:p>
        </w:tc>
        <w:tc>
          <w:tcPr>
            <w:tcW w:w="4962" w:type="dxa"/>
          </w:tcPr>
          <w:p>
            <w:pPr>
              <w:pStyle w:val="10"/>
              <w:spacing w:line="360" w:lineRule="auto"/>
              <w:rPr>
                <w:rFonts w:hint="eastAsia" w:ascii="仿宋" w:hAnsi="仿宋" w:eastAsia="仿宋"/>
                <w:sz w:val="22"/>
                <w:szCs w:val="28"/>
              </w:rPr>
            </w:pPr>
            <w:r>
              <w:rPr>
                <w:rFonts w:hint="eastAsia" w:ascii="仿宋" w:hAnsi="仿宋" w:eastAsia="仿宋"/>
                <w:sz w:val="22"/>
                <w:szCs w:val="28"/>
              </w:rPr>
              <w:t>商标申请费用保险的赔偿项目为商标申请首次递交申请材料所产生的注册费和代理费。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pStyle w:val="10"/>
              <w:spacing w:line="360" w:lineRule="auto"/>
              <w:rPr>
                <w:rFonts w:hint="eastAsia" w:ascii="仿宋" w:hAnsi="仿宋" w:eastAsia="仿宋"/>
                <w:sz w:val="22"/>
                <w:szCs w:val="28"/>
              </w:rPr>
            </w:pPr>
            <w:r>
              <w:rPr>
                <w:rFonts w:hint="eastAsia" w:ascii="仿宋" w:hAnsi="仿宋" w:eastAsia="仿宋"/>
                <w:sz w:val="22"/>
                <w:szCs w:val="28"/>
              </w:rPr>
              <w:t>投保资料</w:t>
            </w:r>
          </w:p>
        </w:tc>
        <w:tc>
          <w:tcPr>
            <w:tcW w:w="8788" w:type="dxa"/>
          </w:tcPr>
          <w:p>
            <w:pPr>
              <w:pStyle w:val="11"/>
              <w:numPr>
                <w:ilvl w:val="0"/>
                <w:numId w:val="1"/>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被保险人三证合一复印件</w:t>
            </w:r>
          </w:p>
          <w:p>
            <w:pPr>
              <w:pStyle w:val="11"/>
              <w:numPr>
                <w:ilvl w:val="0"/>
                <w:numId w:val="1"/>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商标注册证复印件</w:t>
            </w:r>
          </w:p>
        </w:tc>
        <w:tc>
          <w:tcPr>
            <w:tcW w:w="4962" w:type="dxa"/>
          </w:tcPr>
          <w:p>
            <w:pPr>
              <w:pStyle w:val="11"/>
              <w:numPr>
                <w:ilvl w:val="0"/>
                <w:numId w:val="2"/>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被保险人三证合一复印</w:t>
            </w:r>
          </w:p>
          <w:p>
            <w:pPr>
              <w:pStyle w:val="11"/>
              <w:numPr>
                <w:ilvl w:val="0"/>
                <w:numId w:val="2"/>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代理商标的名称，申请信息；</w:t>
            </w:r>
          </w:p>
          <w:p>
            <w:pPr>
              <w:pStyle w:val="11"/>
              <w:numPr>
                <w:ilvl w:val="0"/>
                <w:numId w:val="2"/>
              </w:numPr>
              <w:ind w:firstLineChars="0"/>
              <w:jc w:val="left"/>
              <w:rPr>
                <w:rFonts w:hint="eastAsia" w:ascii="仿宋" w:hAnsi="仿宋" w:eastAsia="仿宋" w:cs="宋体"/>
                <w:color w:val="000000"/>
                <w:kern w:val="0"/>
                <w:sz w:val="22"/>
                <w:szCs w:val="28"/>
              </w:rPr>
            </w:pPr>
            <w:r>
              <w:rPr>
                <w:rFonts w:hint="eastAsia" w:ascii="仿宋" w:hAnsi="仿宋" w:eastAsia="仿宋"/>
                <w:sz w:val="22"/>
                <w:szCs w:val="28"/>
              </w:rPr>
              <w:t>商标申请代理合同复印件；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pStyle w:val="10"/>
              <w:spacing w:line="360" w:lineRule="auto"/>
              <w:rPr>
                <w:rFonts w:hint="eastAsia" w:ascii="仿宋" w:hAnsi="仿宋" w:eastAsia="仿宋"/>
                <w:sz w:val="22"/>
                <w:szCs w:val="28"/>
              </w:rPr>
            </w:pPr>
            <w:r>
              <w:rPr>
                <w:rFonts w:hint="eastAsia" w:ascii="仿宋" w:hAnsi="仿宋" w:eastAsia="仿宋"/>
                <w:sz w:val="22"/>
                <w:szCs w:val="28"/>
              </w:rPr>
              <w:t>索赔资料</w:t>
            </w:r>
          </w:p>
        </w:tc>
        <w:tc>
          <w:tcPr>
            <w:tcW w:w="8788" w:type="dxa"/>
          </w:tcPr>
          <w:p>
            <w:pPr>
              <w:pStyle w:val="11"/>
              <w:numPr>
                <w:ilvl w:val="0"/>
                <w:numId w:val="3"/>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保险单或批单的正本或复印件；索赔申请书；保险事故的性质、原因、损失程度等有关的证明和资料；</w:t>
            </w:r>
          </w:p>
          <w:p>
            <w:pPr>
              <w:pStyle w:val="11"/>
              <w:numPr>
                <w:ilvl w:val="0"/>
                <w:numId w:val="3"/>
              </w:numPr>
              <w:ind w:firstLineChars="0"/>
              <w:jc w:val="left"/>
              <w:rPr>
                <w:rFonts w:hint="eastAsia" w:ascii="微软雅黑" w:hAnsi="微软雅黑" w:eastAsia="微软雅黑"/>
                <w:sz w:val="18"/>
              </w:rPr>
            </w:pPr>
            <w:r>
              <w:rPr>
                <w:rFonts w:hint="eastAsia" w:ascii="仿宋" w:hAnsi="仿宋" w:eastAsia="仿宋" w:cs="宋体"/>
                <w:color w:val="000000"/>
                <w:kern w:val="0"/>
                <w:sz w:val="22"/>
                <w:szCs w:val="28"/>
              </w:rPr>
              <w:t>行政查处证明、仲裁或判决文书；</w:t>
            </w:r>
          </w:p>
        </w:tc>
        <w:tc>
          <w:tcPr>
            <w:tcW w:w="4962" w:type="dxa"/>
          </w:tcPr>
          <w:p>
            <w:pPr>
              <w:pStyle w:val="11"/>
              <w:numPr>
                <w:ilvl w:val="0"/>
                <w:numId w:val="4"/>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保险单或批单的正本或复印件；索赔申请书；保险事故的性质、原因、损失程度等有关的证明和资料；</w:t>
            </w:r>
          </w:p>
          <w:p>
            <w:pPr>
              <w:pStyle w:val="11"/>
              <w:numPr>
                <w:ilvl w:val="0"/>
                <w:numId w:val="4"/>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代理机构所有的商标代理机构注册证复印件；</w:t>
            </w:r>
          </w:p>
          <w:p>
            <w:pPr>
              <w:pStyle w:val="11"/>
              <w:numPr>
                <w:ilvl w:val="0"/>
                <w:numId w:val="4"/>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商标代理申请信息与代理金额真实性的书面证明；</w:t>
            </w:r>
          </w:p>
          <w:p>
            <w:pPr>
              <w:pStyle w:val="11"/>
              <w:numPr>
                <w:ilvl w:val="0"/>
                <w:numId w:val="4"/>
              </w:numPr>
              <w:ind w:firstLineChars="0"/>
              <w:jc w:val="left"/>
              <w:rPr>
                <w:rFonts w:hint="eastAsia" w:ascii="仿宋" w:hAnsi="仿宋" w:eastAsia="仿宋" w:cs="宋体"/>
                <w:color w:val="000000"/>
                <w:kern w:val="0"/>
                <w:sz w:val="22"/>
                <w:szCs w:val="28"/>
              </w:rPr>
            </w:pPr>
            <w:r>
              <w:rPr>
                <w:rFonts w:hint="eastAsia" w:ascii="仿宋" w:hAnsi="仿宋" w:eastAsia="仿宋" w:cs="宋体"/>
                <w:color w:val="000000"/>
                <w:kern w:val="0"/>
                <w:sz w:val="22"/>
                <w:szCs w:val="28"/>
              </w:rPr>
              <w:t>商标注册申请的驳回决定决定证明；</w:t>
            </w:r>
          </w:p>
        </w:tc>
      </w:tr>
    </w:tbl>
    <w:p>
      <w:pPr>
        <w:jc w:val="left"/>
        <w:rPr>
          <w:rFonts w:hint="eastAsia" w:ascii="仿宋" w:hAnsi="仿宋" w:eastAsia="仿宋" w:cs="宋体"/>
          <w:b/>
          <w:color w:val="000000"/>
          <w:kern w:val="0"/>
          <w:sz w:val="22"/>
          <w:szCs w:val="28"/>
        </w:rPr>
      </w:pPr>
      <w:r>
        <w:rPr>
          <w:rFonts w:hint="eastAsia" w:ascii="仿宋" w:hAnsi="仿宋" w:eastAsia="仿宋" w:cs="宋体"/>
          <w:b/>
          <w:color w:val="000000"/>
          <w:kern w:val="0"/>
          <w:sz w:val="22"/>
          <w:szCs w:val="28"/>
        </w:rPr>
        <w:t>备注：以上具体以保险条款和案件情况为准。</w:t>
      </w:r>
    </w:p>
    <w:p>
      <w:pPr>
        <w:pStyle w:val="10"/>
        <w:spacing w:after="156" w:afterLines="50" w:line="360" w:lineRule="auto"/>
        <w:rPr>
          <w:rFonts w:hint="eastAsia" w:ascii="仿宋" w:hAnsi="仿宋" w:eastAsia="仿宋" w:cs="Times New Roman"/>
          <w:sz w:val="36"/>
          <w:szCs w:val="28"/>
        </w:rPr>
      </w:pPr>
      <w:r>
        <w:rPr>
          <w:rFonts w:hint="eastAsia" w:ascii="仿宋" w:hAnsi="仿宋" w:eastAsia="仿宋" w:cs="Times New Roman"/>
          <w:sz w:val="36"/>
          <w:szCs w:val="28"/>
        </w:rPr>
        <w:t>二、商标专用权保险承保方案：</w:t>
      </w:r>
    </w:p>
    <w:p>
      <w:pPr>
        <w:pStyle w:val="10"/>
        <w:spacing w:line="360" w:lineRule="auto"/>
        <w:rPr>
          <w:rFonts w:hint="eastAsia" w:ascii="仿宋" w:hAnsi="仿宋" w:eastAsia="仿宋" w:cs="Times New Roman"/>
          <w:sz w:val="28"/>
          <w:szCs w:val="28"/>
        </w:rPr>
      </w:pPr>
      <w:r>
        <w:rPr>
          <w:rFonts w:hint="eastAsia" w:ascii="仿宋" w:hAnsi="仿宋" w:eastAsia="仿宋" w:cs="Times New Roman"/>
          <w:sz w:val="28"/>
          <w:szCs w:val="28"/>
        </w:rPr>
        <w:t>（一）、商标专用权保险承保方案：</w:t>
      </w:r>
    </w:p>
    <w:p>
      <w:pPr>
        <w:pStyle w:val="10"/>
        <w:spacing w:line="360" w:lineRule="auto"/>
        <w:rPr>
          <w:rFonts w:hint="eastAsia" w:ascii="仿宋" w:hAnsi="仿宋" w:eastAsia="仿宋" w:cs="Times New Roman"/>
          <w:sz w:val="28"/>
          <w:szCs w:val="28"/>
        </w:rPr>
      </w:pPr>
      <w:r>
        <w:rPr>
          <w:rFonts w:hint="eastAsia" w:ascii="仿宋" w:hAnsi="仿宋" w:eastAsia="仿宋" w:cs="Times New Roman"/>
          <w:sz w:val="28"/>
          <w:szCs w:val="28"/>
        </w:rPr>
        <w:t>基准保费：</w:t>
      </w:r>
    </w:p>
    <w:tbl>
      <w:tblPr>
        <w:tblStyle w:val="6"/>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5"/>
        <w:gridCol w:w="2857"/>
        <w:gridCol w:w="31"/>
        <w:gridCol w:w="2889"/>
        <w:gridCol w:w="194"/>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赔偿项目（单位：人民币）</w:t>
            </w:r>
          </w:p>
        </w:tc>
        <w:tc>
          <w:tcPr>
            <w:tcW w:w="2857"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方案一</w:t>
            </w:r>
          </w:p>
        </w:tc>
        <w:tc>
          <w:tcPr>
            <w:tcW w:w="3114" w:type="dxa"/>
            <w:gridSpan w:val="3"/>
          </w:tcPr>
          <w:p>
            <w:pPr>
              <w:widowControl/>
              <w:spacing w:line="360" w:lineRule="auto"/>
              <w:rPr>
                <w:rFonts w:hint="eastAsia" w:ascii="仿宋" w:hAnsi="仿宋" w:eastAsia="仿宋"/>
                <w:kern w:val="0"/>
                <w:szCs w:val="28"/>
              </w:rPr>
            </w:pPr>
            <w:r>
              <w:rPr>
                <w:rFonts w:hint="eastAsia" w:ascii="仿宋" w:hAnsi="仿宋" w:eastAsia="仿宋"/>
                <w:kern w:val="0"/>
                <w:szCs w:val="28"/>
              </w:rPr>
              <w:t>方案二</w:t>
            </w:r>
          </w:p>
        </w:tc>
        <w:tc>
          <w:tcPr>
            <w:tcW w:w="2698"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方案三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累计赔偿限额</w:t>
            </w:r>
          </w:p>
        </w:tc>
        <w:tc>
          <w:tcPr>
            <w:tcW w:w="2857"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30万</w:t>
            </w:r>
          </w:p>
        </w:tc>
        <w:tc>
          <w:tcPr>
            <w:tcW w:w="3114" w:type="dxa"/>
            <w:gridSpan w:val="3"/>
          </w:tcPr>
          <w:p>
            <w:pPr>
              <w:widowControl/>
              <w:spacing w:line="360" w:lineRule="auto"/>
              <w:rPr>
                <w:rFonts w:hint="eastAsia" w:ascii="仿宋" w:hAnsi="仿宋" w:eastAsia="仿宋"/>
                <w:kern w:val="0"/>
                <w:szCs w:val="28"/>
              </w:rPr>
            </w:pPr>
            <w:r>
              <w:rPr>
                <w:rFonts w:hint="eastAsia" w:ascii="仿宋" w:hAnsi="仿宋" w:eastAsia="仿宋"/>
                <w:kern w:val="0"/>
                <w:szCs w:val="28"/>
              </w:rPr>
              <w:t>40万</w:t>
            </w:r>
          </w:p>
        </w:tc>
        <w:tc>
          <w:tcPr>
            <w:tcW w:w="2698"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每次赔偿限额</w:t>
            </w:r>
          </w:p>
        </w:tc>
        <w:tc>
          <w:tcPr>
            <w:tcW w:w="2857"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10万</w:t>
            </w:r>
          </w:p>
        </w:tc>
        <w:tc>
          <w:tcPr>
            <w:tcW w:w="3114" w:type="dxa"/>
            <w:gridSpan w:val="3"/>
          </w:tcPr>
          <w:p>
            <w:pPr>
              <w:widowControl/>
              <w:spacing w:line="360" w:lineRule="auto"/>
              <w:rPr>
                <w:rFonts w:hint="eastAsia" w:ascii="仿宋" w:hAnsi="仿宋" w:eastAsia="仿宋"/>
                <w:kern w:val="0"/>
                <w:szCs w:val="28"/>
              </w:rPr>
            </w:pPr>
            <w:r>
              <w:rPr>
                <w:rFonts w:hint="eastAsia" w:ascii="仿宋" w:hAnsi="仿宋" w:eastAsia="仿宋"/>
                <w:kern w:val="0"/>
                <w:szCs w:val="28"/>
              </w:rPr>
              <w:t>15万</w:t>
            </w:r>
          </w:p>
        </w:tc>
        <w:tc>
          <w:tcPr>
            <w:tcW w:w="2698"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每次事故调查费用/法律费用赔偿限额</w:t>
            </w:r>
          </w:p>
        </w:tc>
        <w:tc>
          <w:tcPr>
            <w:tcW w:w="8669" w:type="dxa"/>
            <w:gridSpan w:val="5"/>
            <w:shd w:val="clear" w:color="auto" w:fill="auto"/>
          </w:tcPr>
          <w:p>
            <w:pPr>
              <w:widowControl/>
              <w:spacing w:line="360" w:lineRule="auto"/>
              <w:jc w:val="center"/>
              <w:rPr>
                <w:rFonts w:hint="eastAsia" w:ascii="仿宋" w:hAnsi="仿宋" w:eastAsia="仿宋"/>
                <w:kern w:val="0"/>
                <w:szCs w:val="28"/>
              </w:rPr>
            </w:pPr>
            <w:r>
              <w:rPr>
                <w:rFonts w:hint="eastAsia" w:ascii="仿宋" w:hAnsi="仿宋" w:eastAsia="仿宋"/>
                <w:kern w:val="0"/>
                <w:szCs w:val="28"/>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承保方式</w:t>
            </w:r>
          </w:p>
        </w:tc>
        <w:tc>
          <w:tcPr>
            <w:tcW w:w="8669" w:type="dxa"/>
            <w:gridSpan w:val="5"/>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索赔发生制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保费</w:t>
            </w:r>
          </w:p>
        </w:tc>
        <w:tc>
          <w:tcPr>
            <w:tcW w:w="2888" w:type="dxa"/>
            <w:gridSpan w:val="2"/>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10000元/件</w:t>
            </w:r>
          </w:p>
        </w:tc>
        <w:tc>
          <w:tcPr>
            <w:tcW w:w="2889"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12000元/件</w:t>
            </w:r>
          </w:p>
        </w:tc>
        <w:tc>
          <w:tcPr>
            <w:tcW w:w="2892" w:type="dxa"/>
            <w:gridSpan w:val="2"/>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15000元/件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免赔</w:t>
            </w:r>
          </w:p>
        </w:tc>
        <w:tc>
          <w:tcPr>
            <w:tcW w:w="8669" w:type="dxa"/>
            <w:gridSpan w:val="5"/>
          </w:tcPr>
          <w:p>
            <w:pPr>
              <w:widowControl/>
              <w:spacing w:line="360" w:lineRule="auto"/>
              <w:rPr>
                <w:rFonts w:hint="eastAsia" w:ascii="仿宋" w:hAnsi="仿宋" w:eastAsia="仿宋"/>
                <w:kern w:val="0"/>
                <w:szCs w:val="28"/>
              </w:rPr>
            </w:pPr>
            <w:r>
              <w:rPr>
                <w:rFonts w:hint="eastAsia" w:ascii="仿宋" w:hAnsi="仿宋" w:eastAsia="仿宋"/>
                <w:kern w:val="0"/>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945"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保险期限</w:t>
            </w:r>
          </w:p>
        </w:tc>
        <w:tc>
          <w:tcPr>
            <w:tcW w:w="8669" w:type="dxa"/>
            <w:gridSpan w:val="5"/>
          </w:tcPr>
          <w:p>
            <w:pPr>
              <w:widowControl/>
              <w:spacing w:line="360" w:lineRule="auto"/>
              <w:rPr>
                <w:rFonts w:hint="eastAsia" w:ascii="仿宋" w:hAnsi="仿宋" w:eastAsia="仿宋"/>
                <w:kern w:val="0"/>
                <w:szCs w:val="28"/>
              </w:rPr>
            </w:pPr>
            <w:r>
              <w:rPr>
                <w:rFonts w:hint="eastAsia" w:ascii="仿宋" w:hAnsi="仿宋" w:eastAsia="仿宋"/>
                <w:kern w:val="0"/>
                <w:szCs w:val="28"/>
              </w:rPr>
              <w:t>一年（无特殊原因，不承保短期保单）</w:t>
            </w:r>
          </w:p>
        </w:tc>
      </w:tr>
    </w:tbl>
    <w:p>
      <w:pPr>
        <w:widowControl/>
        <w:shd w:val="clear" w:color="auto" w:fill="FFFFFF"/>
        <w:spacing w:line="360" w:lineRule="auto"/>
        <w:rPr>
          <w:rFonts w:hint="eastAsia" w:ascii="仿宋" w:hAnsi="仿宋" w:eastAsia="仿宋"/>
          <w:color w:val="000000"/>
          <w:kern w:val="0"/>
          <w:sz w:val="28"/>
          <w:szCs w:val="28"/>
        </w:rPr>
      </w:pPr>
      <w:r>
        <w:rPr>
          <w:rFonts w:hint="eastAsia" w:ascii="仿宋" w:hAnsi="仿宋" w:eastAsia="仿宋"/>
          <w:sz w:val="28"/>
          <w:szCs w:val="28"/>
        </w:rPr>
        <w:t>风险调整系数：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一、销售额调整系数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销售额（指企业年销售额）</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w:t>
            </w:r>
            <w:r>
              <w:rPr>
                <w:rFonts w:hint="eastAsia" w:ascii="仿宋" w:hAnsi="仿宋" w:eastAsia="仿宋"/>
                <w:kern w:val="0"/>
                <w:szCs w:val="28"/>
              </w:rPr>
              <w:t>亿（含）以内</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1-10</w:t>
            </w:r>
            <w:r>
              <w:rPr>
                <w:rFonts w:hint="eastAsia" w:ascii="仿宋" w:hAnsi="仿宋" w:eastAsia="仿宋"/>
                <w:kern w:val="0"/>
                <w:szCs w:val="28"/>
              </w:rPr>
              <w:t>亿（含）</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10-50</w:t>
            </w:r>
            <w:r>
              <w:rPr>
                <w:rFonts w:hint="eastAsia" w:ascii="仿宋" w:hAnsi="仿宋" w:eastAsia="仿宋"/>
                <w:kern w:val="0"/>
                <w:szCs w:val="28"/>
              </w:rPr>
              <w:t>亿（含）</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50</w:t>
            </w:r>
            <w:r>
              <w:rPr>
                <w:rFonts w:hint="eastAsia" w:ascii="仿宋" w:hAnsi="仿宋" w:eastAsia="仿宋"/>
                <w:kern w:val="0"/>
                <w:szCs w:val="28"/>
              </w:rPr>
              <w:t>亿</w:t>
            </w:r>
            <w:r>
              <w:rPr>
                <w:rFonts w:ascii="仿宋" w:hAnsi="仿宋" w:eastAsia="仿宋"/>
                <w:kern w:val="0"/>
                <w:szCs w:val="28"/>
              </w:rPr>
              <w:t>-100</w:t>
            </w:r>
            <w:r>
              <w:rPr>
                <w:rFonts w:hint="eastAsia" w:ascii="仿宋" w:hAnsi="仿宋" w:eastAsia="仿宋"/>
                <w:kern w:val="0"/>
                <w:szCs w:val="28"/>
              </w:rPr>
              <w:t>亿（含）</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100</w:t>
            </w:r>
            <w:r>
              <w:rPr>
                <w:rFonts w:hint="eastAsia" w:ascii="仿宋" w:hAnsi="仿宋" w:eastAsia="仿宋"/>
                <w:kern w:val="0"/>
                <w:szCs w:val="28"/>
              </w:rPr>
              <w:t>亿以上</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二、商标类型调整系数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商标类型</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含驰名商标</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其他试点商标</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ascii="仿宋" w:hAnsi="仿宋" w:eastAsia="仿宋"/>
                <w:kern w:val="0"/>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rPr>
                <w:rFonts w:ascii="仿宋" w:hAnsi="仿宋" w:eastAsia="仿宋"/>
                <w:kern w:val="0"/>
                <w:szCs w:val="28"/>
              </w:rPr>
            </w:pPr>
            <w:r>
              <w:rPr>
                <w:rFonts w:hint="eastAsia" w:ascii="仿宋" w:hAnsi="仿宋" w:eastAsia="仿宋"/>
                <w:kern w:val="0"/>
                <w:szCs w:val="28"/>
              </w:rPr>
              <w:t>上述两项系数根据企业商标实际情况核定，同时使用。</w:t>
            </w:r>
          </w:p>
        </w:tc>
      </w:tr>
    </w:tbl>
    <w:p>
      <w:pPr>
        <w:widowControl/>
        <w:spacing w:line="360" w:lineRule="auto"/>
        <w:rPr>
          <w:rFonts w:hint="eastAsia" w:ascii="仿宋" w:hAnsi="仿宋" w:eastAsia="仿宋"/>
          <w:kern w:val="0"/>
          <w:szCs w:val="28"/>
        </w:rPr>
      </w:pPr>
      <w:r>
        <w:rPr>
          <w:rFonts w:hint="eastAsia" w:ascii="仿宋" w:hAnsi="仿宋" w:eastAsia="仿宋"/>
          <w:kern w:val="0"/>
          <w:szCs w:val="28"/>
        </w:rPr>
        <w:t>举例：以宁波市某年销售额</w:t>
      </w:r>
      <w:r>
        <w:rPr>
          <w:rFonts w:ascii="仿宋" w:hAnsi="仿宋" w:eastAsia="仿宋"/>
          <w:kern w:val="0"/>
          <w:szCs w:val="28"/>
        </w:rPr>
        <w:t>100</w:t>
      </w:r>
      <w:r>
        <w:rPr>
          <w:rFonts w:hint="eastAsia" w:ascii="仿宋" w:hAnsi="仿宋" w:eastAsia="仿宋"/>
          <w:kern w:val="0"/>
          <w:szCs w:val="28"/>
        </w:rPr>
        <w:t>亿以上的驰名商标企业为例，选用累计</w:t>
      </w:r>
      <w:r>
        <w:rPr>
          <w:rFonts w:ascii="仿宋" w:hAnsi="仿宋" w:eastAsia="仿宋"/>
          <w:kern w:val="0"/>
          <w:szCs w:val="28"/>
        </w:rPr>
        <w:t>50</w:t>
      </w:r>
      <w:r>
        <w:rPr>
          <w:rFonts w:hint="eastAsia" w:ascii="仿宋" w:hAnsi="仿宋" w:eastAsia="仿宋"/>
          <w:kern w:val="0"/>
          <w:szCs w:val="28"/>
        </w:rPr>
        <w:t>万限额的承保方案，保费收取为</w:t>
      </w:r>
      <w:r>
        <w:rPr>
          <w:rFonts w:ascii="仿宋" w:hAnsi="仿宋" w:eastAsia="仿宋"/>
          <w:kern w:val="0"/>
          <w:szCs w:val="28"/>
        </w:rPr>
        <w:t>1.5</w:t>
      </w:r>
      <w:r>
        <w:rPr>
          <w:rFonts w:hint="eastAsia" w:ascii="仿宋" w:hAnsi="仿宋" w:eastAsia="仿宋"/>
          <w:kern w:val="0"/>
          <w:szCs w:val="28"/>
        </w:rPr>
        <w:t>万元</w:t>
      </w:r>
      <w:r>
        <w:rPr>
          <w:rFonts w:ascii="仿宋" w:hAnsi="仿宋" w:eastAsia="仿宋"/>
          <w:kern w:val="0"/>
          <w:szCs w:val="28"/>
        </w:rPr>
        <w:t>*3*1.5=6.75</w:t>
      </w:r>
      <w:r>
        <w:rPr>
          <w:rFonts w:hint="eastAsia" w:ascii="仿宋" w:hAnsi="仿宋" w:eastAsia="仿宋"/>
          <w:kern w:val="0"/>
          <w:szCs w:val="28"/>
        </w:rPr>
        <w:t>万元。</w:t>
      </w:r>
    </w:p>
    <w:p>
      <w:pPr>
        <w:widowControl/>
        <w:shd w:val="clear" w:color="auto" w:fill="FFFFFF"/>
        <w:spacing w:line="360" w:lineRule="auto"/>
        <w:rPr>
          <w:rFonts w:hint="eastAsia" w:ascii="仿宋" w:hAnsi="仿宋" w:eastAsia="仿宋"/>
          <w:color w:val="000000"/>
          <w:kern w:val="0"/>
          <w:sz w:val="28"/>
          <w:szCs w:val="28"/>
        </w:rPr>
      </w:pPr>
      <w:r>
        <w:rPr>
          <w:rFonts w:hint="eastAsia" w:ascii="仿宋" w:hAnsi="仿宋" w:eastAsia="仿宋"/>
          <w:color w:val="000000"/>
          <w:kern w:val="0"/>
          <w:sz w:val="28"/>
          <w:szCs w:val="28"/>
        </w:rPr>
        <w:t>（二）、商标申请费用保险承保方案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5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赔偿项目</w:t>
            </w:r>
          </w:p>
        </w:tc>
        <w:tc>
          <w:tcPr>
            <w:tcW w:w="657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马德里国际注册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注册费</w:t>
            </w:r>
          </w:p>
        </w:tc>
        <w:tc>
          <w:tcPr>
            <w:tcW w:w="657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含基础注册费、补充注册费、附加注册费；</w:t>
            </w:r>
          </w:p>
          <w:p>
            <w:pPr>
              <w:widowControl/>
              <w:spacing w:line="360" w:lineRule="auto"/>
              <w:rPr>
                <w:rFonts w:hint="eastAsia" w:ascii="仿宋" w:hAnsi="仿宋" w:eastAsia="仿宋"/>
                <w:kern w:val="0"/>
                <w:szCs w:val="28"/>
              </w:rPr>
            </w:pPr>
            <w:r>
              <w:rPr>
                <w:rFonts w:hint="eastAsia" w:ascii="仿宋" w:hAnsi="仿宋" w:eastAsia="仿宋"/>
                <w:kern w:val="0"/>
                <w:szCs w:val="28"/>
              </w:rPr>
              <w:t>根据申请注册的国家数，逐单商定赔偿限额；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代理费</w:t>
            </w:r>
          </w:p>
        </w:tc>
        <w:tc>
          <w:tcPr>
            <w:tcW w:w="657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依据商标申请人和代理人多签订的代理协议限定；</w:t>
            </w:r>
          </w:p>
          <w:p>
            <w:pPr>
              <w:widowControl/>
              <w:spacing w:line="360" w:lineRule="auto"/>
              <w:rPr>
                <w:rFonts w:hint="eastAsia" w:ascii="仿宋" w:hAnsi="仿宋" w:eastAsia="仿宋"/>
                <w:kern w:val="0"/>
                <w:szCs w:val="28"/>
              </w:rPr>
            </w:pPr>
            <w:r>
              <w:rPr>
                <w:rFonts w:hint="eastAsia" w:ascii="仿宋" w:hAnsi="仿宋" w:eastAsia="仿宋"/>
                <w:kern w:val="0"/>
                <w:szCs w:val="28"/>
              </w:rPr>
              <w:t>根据代理费用逐单商定赔偿限额；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保费</w:t>
            </w:r>
          </w:p>
        </w:tc>
        <w:tc>
          <w:tcPr>
            <w:tcW w:w="657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（注册费赔偿限额+代理费赔偿限额）*10%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免赔</w:t>
            </w:r>
          </w:p>
        </w:tc>
        <w:tc>
          <w:tcPr>
            <w:tcW w:w="657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每次事故损失金额的20-30%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保险期限</w:t>
            </w:r>
          </w:p>
        </w:tc>
        <w:tc>
          <w:tcPr>
            <w:tcW w:w="6571" w:type="dxa"/>
            <w:shd w:val="clear" w:color="auto" w:fill="auto"/>
          </w:tcPr>
          <w:p>
            <w:pPr>
              <w:widowControl/>
              <w:spacing w:line="360" w:lineRule="auto"/>
              <w:rPr>
                <w:rFonts w:hint="eastAsia" w:ascii="仿宋" w:hAnsi="仿宋" w:eastAsia="仿宋"/>
                <w:kern w:val="0"/>
                <w:szCs w:val="28"/>
              </w:rPr>
            </w:pPr>
            <w:r>
              <w:rPr>
                <w:rFonts w:hint="eastAsia" w:ascii="仿宋" w:hAnsi="仿宋" w:eastAsia="仿宋"/>
                <w:kern w:val="0"/>
                <w:szCs w:val="28"/>
              </w:rPr>
              <w:t>一年（无特殊原因，不承保短期保单），日落期三年</w:t>
            </w:r>
          </w:p>
        </w:tc>
      </w:tr>
    </w:tbl>
    <w:p>
      <w:pPr>
        <w:rPr>
          <w:rFonts w:hint="eastAsia"/>
        </w:rPr>
      </w:pPr>
    </w:p>
    <w:p>
      <w:pPr>
        <w:rPr>
          <w:rFonts w:hint="eastAsia" w:ascii="微软雅黑" w:hAnsi="微软雅黑" w:eastAsia="微软雅黑"/>
          <w:b/>
        </w:rPr>
      </w:pPr>
    </w:p>
    <w:p>
      <w:pPr>
        <w:rPr>
          <w:rFonts w:hint="eastAsia" w:ascii="微软雅黑" w:hAnsi="微软雅黑" w:eastAsia="微软雅黑"/>
          <w:b/>
        </w:rPr>
      </w:pPr>
    </w:p>
    <w:p>
      <w:pPr>
        <w:rPr>
          <w:rFonts w:hint="eastAsia" w:ascii="微软雅黑" w:hAnsi="微软雅黑" w:eastAsia="微软雅黑"/>
          <w:b/>
        </w:rPr>
      </w:pPr>
    </w:p>
    <w:p>
      <w:pPr>
        <w:rPr>
          <w:rFonts w:ascii="微软雅黑" w:hAnsi="微软雅黑" w:eastAsia="微软雅黑"/>
          <w:b/>
          <w:sz w:val="18"/>
        </w:rPr>
      </w:pPr>
      <w:bookmarkStart w:id="0" w:name="_GoBack"/>
      <w:bookmarkEnd w:id="0"/>
      <w:r>
        <w:drawing>
          <wp:anchor distT="0" distB="0" distL="114300" distR="114300" simplePos="0" relativeHeight="251710464" behindDoc="1" locked="0" layoutInCell="1" allowOverlap="1">
            <wp:simplePos x="0" y="0"/>
            <wp:positionH relativeFrom="column">
              <wp:posOffset>48895</wp:posOffset>
            </wp:positionH>
            <wp:positionV relativeFrom="paragraph">
              <wp:posOffset>6430010</wp:posOffset>
            </wp:positionV>
            <wp:extent cx="1154430" cy="397510"/>
            <wp:effectExtent l="0" t="0" r="7620" b="2540"/>
            <wp:wrapNone/>
            <wp:docPr id="5" name="图片 5" descr="https://ss1.bdstatic.com/70cFvXSh_Q1YnxGkpoWK1HF6hhy/it/u=1879425875,2754948582&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ss1.bdstatic.com/70cFvXSh_Q1YnxGkpoWK1HF6hhy/it/u=1879425875,2754948582&amp;fm=27&amp;gp=0.jpg"/>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154443" cy="397566"/>
                    </a:xfrm>
                    <a:prstGeom prst="rect">
                      <a:avLst/>
                    </a:prstGeom>
                    <a:noFill/>
                    <a:ln>
                      <a:noFill/>
                    </a:ln>
                  </pic:spPr>
                </pic:pic>
              </a:graphicData>
            </a:graphic>
          </wp:anchor>
        </w:drawing>
      </w:r>
      <w:r>
        <w:rPr>
          <w:b/>
        </w:rPr>
        <mc:AlternateContent>
          <mc:Choice Requires="wps">
            <w:drawing>
              <wp:anchor distT="0" distB="0" distL="114300" distR="114300" simplePos="0" relativeHeight="251669504" behindDoc="0" locked="0" layoutInCell="1" allowOverlap="1">
                <wp:simplePos x="0" y="0"/>
                <wp:positionH relativeFrom="column">
                  <wp:posOffset>1202690</wp:posOffset>
                </wp:positionH>
                <wp:positionV relativeFrom="paragraph">
                  <wp:posOffset>6439535</wp:posOffset>
                </wp:positionV>
                <wp:extent cx="2209800" cy="42799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2209800" cy="4276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exact"/>
                              <w:rPr>
                                <w:rFonts w:ascii="微软雅黑" w:hAnsi="微软雅黑" w:eastAsia="微软雅黑"/>
                                <w:sz w:val="22"/>
                              </w:rPr>
                            </w:pPr>
                            <w:r>
                              <w:rPr>
                                <w:rFonts w:hint="eastAsia" w:ascii="微软雅黑" w:hAnsi="微软雅黑" w:eastAsia="微软雅黑"/>
                                <w:sz w:val="22"/>
                              </w:rPr>
                              <w:t>中国人寿财产保险股份有限公司</w:t>
                            </w:r>
                          </w:p>
                          <w:p>
                            <w:pPr>
                              <w:spacing w:line="240" w:lineRule="exact"/>
                              <w:rPr>
                                <w:rFonts w:ascii="微软雅黑" w:hAnsi="微软雅黑" w:eastAsia="微软雅黑"/>
                                <w:sz w:val="22"/>
                              </w:rPr>
                            </w:pPr>
                            <w:r>
                              <w:rPr>
                                <w:rFonts w:hint="eastAsia" w:ascii="微软雅黑" w:hAnsi="微软雅黑" w:eastAsia="微软雅黑"/>
                                <w:sz w:val="22"/>
                              </w:rPr>
                              <w:t>宁波市分公司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7pt;margin-top:507.05pt;height:33.7pt;width:174pt;z-index:251669504;mso-width-relative:page;mso-height-relative:page;" fillcolor="#FFFFFF [3201]" filled="t" stroked="f" coordsize="21600,21600" o:gfxdata="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WoJXdYAAAANAQAADwAAAAAAAAABACAAAAAiAAAAZHJzL2Rv&#10;d25yZXYueG1sUEsBAhQAFAAAAAgAh07iQCXq2rY8AgAAUwQAAA4AAAAAAAAAAQAgAAAAJQEAAGRy&#10;cy9lMm9Eb2MueG1sUEsFBgAAAAAGAAYAWQEAANMFAAAAAA==&#10;">
                <v:fill on="t" focussize="0,0"/>
                <v:stroke on="f" weight="0.5pt"/>
                <v:imagedata o:title=""/>
                <o:lock v:ext="edit" aspectratio="f"/>
                <v:textbox>
                  <w:txbxContent>
                    <w:p>
                      <w:pPr>
                        <w:spacing w:line="240" w:lineRule="exact"/>
                        <w:rPr>
                          <w:rFonts w:ascii="微软雅黑" w:hAnsi="微软雅黑" w:eastAsia="微软雅黑"/>
                          <w:sz w:val="22"/>
                        </w:rPr>
                      </w:pPr>
                      <w:r>
                        <w:rPr>
                          <w:rFonts w:hint="eastAsia" w:ascii="微软雅黑" w:hAnsi="微软雅黑" w:eastAsia="微软雅黑"/>
                          <w:sz w:val="22"/>
                        </w:rPr>
                        <w:t>中国人寿财产保险股份有限公司</w:t>
                      </w:r>
                    </w:p>
                    <w:p>
                      <w:pPr>
                        <w:spacing w:line="240" w:lineRule="exact"/>
                        <w:rPr>
                          <w:rFonts w:ascii="微软雅黑" w:hAnsi="微软雅黑" w:eastAsia="微软雅黑"/>
                          <w:sz w:val="22"/>
                        </w:rPr>
                      </w:pPr>
                      <w:r>
                        <w:rPr>
                          <w:rFonts w:hint="eastAsia" w:ascii="微软雅黑" w:hAnsi="微软雅黑" w:eastAsia="微软雅黑"/>
                          <w:sz w:val="22"/>
                        </w:rPr>
                        <w:t>宁波市分公司</w:t>
                      </w:r>
                    </w:p>
                  </w:txbxContent>
                </v:textbox>
              </v:shape>
            </w:pict>
          </mc:Fallback>
        </mc:AlternateContent>
      </w:r>
      <w:r>
        <w:rPr>
          <w:b/>
        </w:rPr>
        <mc:AlternateContent>
          <mc:Choice Requires="wps">
            <w:drawing>
              <wp:anchor distT="0" distB="0" distL="114300" distR="114300" simplePos="0" relativeHeight="251668480" behindDoc="0" locked="0" layoutInCell="1" allowOverlap="1">
                <wp:simplePos x="0" y="0"/>
                <wp:positionH relativeFrom="column">
                  <wp:posOffset>1193165</wp:posOffset>
                </wp:positionH>
                <wp:positionV relativeFrom="paragraph">
                  <wp:posOffset>5883275</wp:posOffset>
                </wp:positionV>
                <wp:extent cx="2209800" cy="38862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2209800" cy="3887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exact"/>
                              <w:rPr>
                                <w:rFonts w:ascii="微软雅黑" w:hAnsi="微软雅黑" w:eastAsia="微软雅黑"/>
                                <w:sz w:val="22"/>
                              </w:rPr>
                            </w:pPr>
                            <w:r>
                              <w:rPr>
                                <w:rFonts w:hint="eastAsia" w:ascii="微软雅黑" w:hAnsi="微软雅黑" w:eastAsia="微软雅黑"/>
                                <w:sz w:val="22"/>
                              </w:rPr>
                              <w:t>中国平安财产保险股份有限公司宁波分公司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95pt;margin-top:463.25pt;height:30.6pt;width:174pt;z-index:251668480;mso-width-relative:page;mso-height-relative:page;" fillcolor="#FFFFFF [3201]" filled="t" stroked="f" coordsize="21600,21600" o:gfxdata="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kAWYdYAAAALAQAADwAAAAAAAAABACAAAAAiAAAAZHJzL2Rv&#10;d25yZXYueG1sUEsBAhQAFAAAAAgAh07iQKQnwmw8AgAAUwQAAA4AAAAAAAAAAQAgAAAAJQEAAGRy&#10;cy9lMm9Eb2MueG1sUEsFBgAAAAAGAAYAWQEAANMFAAAAAA==&#10;">
                <v:fill on="t" focussize="0,0"/>
                <v:stroke on="f" weight="0.5pt"/>
                <v:imagedata o:title=""/>
                <o:lock v:ext="edit" aspectratio="f"/>
                <v:textbox>
                  <w:txbxContent>
                    <w:p>
                      <w:pPr>
                        <w:spacing w:line="240" w:lineRule="exact"/>
                        <w:rPr>
                          <w:rFonts w:ascii="微软雅黑" w:hAnsi="微软雅黑" w:eastAsia="微软雅黑"/>
                          <w:sz w:val="22"/>
                        </w:rPr>
                      </w:pPr>
                      <w:r>
                        <w:rPr>
                          <w:rFonts w:hint="eastAsia" w:ascii="微软雅黑" w:hAnsi="微软雅黑" w:eastAsia="微软雅黑"/>
                          <w:sz w:val="22"/>
                        </w:rPr>
                        <w:t>中国平安财产保险股份有限公司宁波分公司</w:t>
                      </w:r>
                    </w:p>
                  </w:txbxContent>
                </v:textbox>
              </v:shape>
            </w:pict>
          </mc:Fallback>
        </mc:AlternateContent>
      </w:r>
      <w:r>
        <w:rPr>
          <w:b/>
        </w:rPr>
        <w:drawing>
          <wp:anchor distT="0" distB="0" distL="114300" distR="114300" simplePos="0" relativeHeight="251667456" behindDoc="0" locked="0" layoutInCell="1" allowOverlap="1">
            <wp:simplePos x="0" y="0"/>
            <wp:positionH relativeFrom="column">
              <wp:posOffset>290830</wp:posOffset>
            </wp:positionH>
            <wp:positionV relativeFrom="paragraph">
              <wp:posOffset>5897880</wp:posOffset>
            </wp:positionV>
            <wp:extent cx="714375" cy="412115"/>
            <wp:effectExtent l="0" t="0" r="9525" b="6985"/>
            <wp:wrapNone/>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412115"/>
                    </a:xfrm>
                    <a:prstGeom prst="rect">
                      <a:avLst/>
                    </a:prstGeom>
                  </pic:spPr>
                </pic:pic>
              </a:graphicData>
            </a:graphic>
          </wp:anchor>
        </w:drawing>
      </w:r>
      <w:r>
        <w:rPr>
          <w:rFonts w:ascii="微软雅黑" w:hAnsi="微软雅黑" w:eastAsia="微软雅黑"/>
          <w:b/>
          <w:sz w:val="18"/>
        </w:rPr>
        <mc:AlternateContent>
          <mc:Choice Requires="wps">
            <w:drawing>
              <wp:anchor distT="0" distB="0" distL="114300" distR="114300" simplePos="0" relativeHeight="251671552" behindDoc="0" locked="0" layoutInCell="1" allowOverlap="1">
                <wp:simplePos x="0" y="0"/>
                <wp:positionH relativeFrom="column">
                  <wp:posOffset>85090</wp:posOffset>
                </wp:positionH>
                <wp:positionV relativeFrom="paragraph">
                  <wp:posOffset>4667250</wp:posOffset>
                </wp:positionV>
                <wp:extent cx="3061970" cy="967105"/>
                <wp:effectExtent l="0" t="0" r="0" b="4445"/>
                <wp:wrapNone/>
                <wp:docPr id="349" name="文本框 349"/>
                <wp:cNvGraphicFramePr/>
                <a:graphic xmlns:a="http://schemas.openxmlformats.org/drawingml/2006/main">
                  <a:graphicData uri="http://schemas.microsoft.com/office/word/2010/wordprocessingShape">
                    <wps:wsp>
                      <wps:cNvSpPr txBox="1"/>
                      <wps:spPr>
                        <a:xfrm>
                          <a:off x="0" y="0"/>
                          <a:ext cx="3061970" cy="967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rPr>
                                <w:rFonts w:ascii="微软雅黑" w:hAnsi="微软雅黑" w:eastAsia="微软雅黑"/>
                                <w:sz w:val="24"/>
                              </w:rPr>
                            </w:pPr>
                            <w:r>
                              <w:rPr>
                                <w:rFonts w:hint="eastAsia" w:ascii="微软雅黑" w:hAnsi="微软雅黑" w:eastAsia="微软雅黑"/>
                                <w:sz w:val="24"/>
                              </w:rPr>
                              <w:t>指导单位：   宁波市市场监督管理局</w:t>
                            </w:r>
                          </w:p>
                          <w:p>
                            <w:pPr>
                              <w:spacing w:line="400" w:lineRule="exact"/>
                              <w:rPr>
                                <w:rFonts w:ascii="微软雅黑" w:hAnsi="微软雅黑" w:eastAsia="微软雅黑"/>
                                <w:sz w:val="24"/>
                              </w:rPr>
                            </w:pPr>
                            <w:r>
                              <w:rPr>
                                <w:rFonts w:hint="eastAsia" w:ascii="微软雅黑" w:hAnsi="微软雅黑" w:eastAsia="微软雅黑"/>
                                <w:sz w:val="24"/>
                              </w:rPr>
                              <w:t xml:space="preserve">             宁波市金融办</w:t>
                            </w:r>
                          </w:p>
                          <w:p>
                            <w:pPr>
                              <w:spacing w:line="400" w:lineRule="exact"/>
                              <w:rPr>
                                <w:rFonts w:ascii="微软雅黑" w:hAnsi="微软雅黑" w:eastAsia="微软雅黑"/>
                                <w:sz w:val="24"/>
                              </w:rPr>
                            </w:pPr>
                            <w:r>
                              <w:rPr>
                                <w:rFonts w:hint="eastAsia" w:ascii="微软雅黑" w:hAnsi="微软雅黑" w:eastAsia="微软雅黑"/>
                                <w:sz w:val="24"/>
                              </w:rPr>
                              <w:t xml:space="preserve">             宁波市保监局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367.5pt;height:76.15pt;width:241.1pt;z-index:251671552;mso-width-relative:page;mso-height-relative:page;" filled="f" stroked="f" coordsize="21600,21600" o:gfxdata="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G4YANwAAAAKAQAADwAAAAAAAAABACAAAAAiAAAAZHJzL2Rvd25yZXYueG1sUEsBAhQA&#10;FAAAAAgAh07iQGscsrEnAgAAKgQAAA4AAAAAAAAAAQAgAAAAKwEAAGRycy9lMm9Eb2MueG1sUEsF&#10;BgAAAAAGAAYAWQEAAMQFAAAAAA==&#10;">
                <v:fill on="f" focussize="0,0"/>
                <v:stroke on="f" weight="0.5pt"/>
                <v:imagedata o:title=""/>
                <o:lock v:ext="edit" aspectratio="f"/>
                <v:textbox>
                  <w:txbxContent>
                    <w:p>
                      <w:pPr>
                        <w:spacing w:line="400" w:lineRule="exact"/>
                        <w:rPr>
                          <w:rFonts w:ascii="微软雅黑" w:hAnsi="微软雅黑" w:eastAsia="微软雅黑"/>
                          <w:sz w:val="24"/>
                        </w:rPr>
                      </w:pPr>
                      <w:r>
                        <w:rPr>
                          <w:rFonts w:hint="eastAsia" w:ascii="微软雅黑" w:hAnsi="微软雅黑" w:eastAsia="微软雅黑"/>
                          <w:sz w:val="24"/>
                        </w:rPr>
                        <w:t>指导单位：   宁波市市场监督管理局</w:t>
                      </w:r>
                    </w:p>
                    <w:p>
                      <w:pPr>
                        <w:spacing w:line="400" w:lineRule="exact"/>
                        <w:rPr>
                          <w:rFonts w:ascii="微软雅黑" w:hAnsi="微软雅黑" w:eastAsia="微软雅黑"/>
                          <w:sz w:val="24"/>
                        </w:rPr>
                      </w:pPr>
                      <w:r>
                        <w:rPr>
                          <w:rFonts w:hint="eastAsia" w:ascii="微软雅黑" w:hAnsi="微软雅黑" w:eastAsia="微软雅黑"/>
                          <w:sz w:val="24"/>
                        </w:rPr>
                        <w:t xml:space="preserve">             宁波市金融办</w:t>
                      </w:r>
                    </w:p>
                    <w:p>
                      <w:pPr>
                        <w:spacing w:line="400" w:lineRule="exact"/>
                        <w:rPr>
                          <w:rFonts w:ascii="微软雅黑" w:hAnsi="微软雅黑" w:eastAsia="微软雅黑"/>
                          <w:sz w:val="24"/>
                        </w:rPr>
                      </w:pPr>
                      <w:r>
                        <w:rPr>
                          <w:rFonts w:hint="eastAsia" w:ascii="微软雅黑" w:hAnsi="微软雅黑" w:eastAsia="微软雅黑"/>
                          <w:sz w:val="24"/>
                        </w:rPr>
                        <w:t xml:space="preserve">             宁波市保监局</w:t>
                      </w:r>
                    </w:p>
                  </w:txbxContent>
                </v:textbox>
              </v:shape>
            </w:pict>
          </mc:Fallback>
        </mc:AlternateContent>
      </w:r>
      <w:r>
        <w:rPr>
          <w:rFonts w:ascii="微软雅黑" w:hAnsi="微软雅黑" w:eastAsia="微软雅黑"/>
          <w:b/>
          <w:sz w:val="18"/>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5413375</wp:posOffset>
                </wp:positionV>
                <wp:extent cx="1257300" cy="466725"/>
                <wp:effectExtent l="0" t="0" r="0" b="9525"/>
                <wp:wrapNone/>
                <wp:docPr id="348" name="文本框 348"/>
                <wp:cNvGraphicFramePr/>
                <a:graphic xmlns:a="http://schemas.openxmlformats.org/drawingml/2006/main">
                  <a:graphicData uri="http://schemas.microsoft.com/office/word/2010/wordprocessingShape">
                    <wps:wsp>
                      <wps:cNvSpPr txBox="1"/>
                      <wps:spPr>
                        <a:xfrm>
                          <a:off x="0" y="0"/>
                          <a:ext cx="12573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sz w:val="24"/>
                              </w:rPr>
                            </w:pPr>
                            <w:r>
                              <w:rPr>
                                <w:rFonts w:hint="eastAsia" w:ascii="微软雅黑" w:hAnsi="微软雅黑" w:eastAsia="微软雅黑"/>
                                <w:sz w:val="24"/>
                              </w:rPr>
                              <w:t>执行单位：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pt;margin-top:426.25pt;height:36.75pt;width:99pt;z-index:251660288;mso-width-relative:page;mso-height-relative:page;" fillcolor="#FFFFFF [3201]" filled="t" stroked="f" coordsize="21600,21600" o:gfxdata="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mhS0NUAAAAKAQAADwAAAAAAAAABACAAAAAiAAAAZHJzL2Rvd25y&#10;ZXYueG1sUEsBAhQAFAAAAAgAh07iQOkFq1I6AgAAUwQAAA4AAAAAAAAAAQAgAAAAJAEAAGRycy9l&#10;Mm9Eb2MueG1sUEsFBgAAAAAGAAYAWQEAANAFAAAAAA==&#10;">
                <v:fill on="t" focussize="0,0"/>
                <v:stroke on="f" weight="0.5pt"/>
                <v:imagedata o:title=""/>
                <o:lock v:ext="edit" aspectratio="f"/>
                <v:textbox>
                  <w:txbxContent>
                    <w:p>
                      <w:pPr>
                        <w:rPr>
                          <w:rFonts w:ascii="微软雅黑" w:hAnsi="微软雅黑" w:eastAsia="微软雅黑"/>
                          <w:sz w:val="24"/>
                        </w:rPr>
                      </w:pPr>
                      <w:r>
                        <w:rPr>
                          <w:rFonts w:hint="eastAsia" w:ascii="微软雅黑" w:hAnsi="微软雅黑" w:eastAsia="微软雅黑"/>
                          <w:sz w:val="24"/>
                        </w:rPr>
                        <w:t>执行单位：</w:t>
                      </w:r>
                    </w:p>
                  </w:txbxContent>
                </v:textbox>
              </v:shape>
            </w:pict>
          </mc:Fallback>
        </mc:AlternateConten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17F"/>
    <w:multiLevelType w:val="multilevel"/>
    <w:tmpl w:val="06DD71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E31F9B"/>
    <w:multiLevelType w:val="multilevel"/>
    <w:tmpl w:val="29E31F9B"/>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EF3DCE"/>
    <w:multiLevelType w:val="multilevel"/>
    <w:tmpl w:val="2EEF3D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93096E"/>
    <w:multiLevelType w:val="multilevel"/>
    <w:tmpl w:val="619309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10"/>
    <w:rsid w:val="005D7B0E"/>
    <w:rsid w:val="007E7AD9"/>
    <w:rsid w:val="00895C54"/>
    <w:rsid w:val="00CE4339"/>
    <w:rsid w:val="00DC4510"/>
    <w:rsid w:val="00E24756"/>
    <w:rsid w:val="00E72480"/>
    <w:rsid w:val="4F48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rFonts w:asciiTheme="minorHAnsi" w:hAnsiTheme="minorHAnsi" w:eastAsiaTheme="minorEastAsia" w:cstheme="minorBidi"/>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customStyle="1" w:styleId="10">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4</Pages>
  <Words>223</Words>
  <Characters>1273</Characters>
  <Lines>10</Lines>
  <Paragraphs>2</Paragraphs>
  <TotalTime>18</TotalTime>
  <ScaleCrop>false</ScaleCrop>
  <LinksUpToDate>false</LinksUpToDate>
  <CharactersWithSpaces>1494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2019-03-29T02:37:00Z</dcterms:created>
  <dc:creator>Localadmin</dc:creator>
  <cp:lastModifiedBy>施佳萍</cp:lastModifiedBy>
  <dcterms:modified xsi:type="dcterms:W3CDTF">2019-03-29T07:25:26Z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